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C8779" w14:textId="77777777" w:rsidR="00DC5E20" w:rsidRDefault="00DC5E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695" w:type="dxa"/>
        <w:tblInd w:w="-356" w:type="dxa"/>
        <w:tblBorders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441"/>
        <w:gridCol w:w="2554"/>
        <w:gridCol w:w="5006"/>
      </w:tblGrid>
      <w:tr w:rsidR="00DC5E20" w14:paraId="7BCF660F" w14:textId="77777777">
        <w:trPr>
          <w:cantSplit/>
          <w:trHeight w:val="740"/>
        </w:trPr>
        <w:tc>
          <w:tcPr>
            <w:tcW w:w="2694" w:type="dxa"/>
            <w:vMerge w:val="restart"/>
            <w:tcBorders>
              <w:top w:val="nil"/>
              <w:bottom w:val="nil"/>
            </w:tcBorders>
          </w:tcPr>
          <w:p w14:paraId="26162DE9" w14:textId="77777777" w:rsidR="00DC5E20" w:rsidRDefault="001206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2EC96BA1" wp14:editId="0032C267">
                  <wp:extent cx="1621790" cy="77406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790" cy="7740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BEC0E59" w14:textId="77777777" w:rsidR="00DC5E20" w:rsidRDefault="00DC5E20"/>
        </w:tc>
        <w:tc>
          <w:tcPr>
            <w:tcW w:w="441" w:type="dxa"/>
            <w:tcBorders>
              <w:top w:val="nil"/>
              <w:bottom w:val="nil"/>
            </w:tcBorders>
          </w:tcPr>
          <w:p w14:paraId="69EF49D7" w14:textId="77777777" w:rsidR="00DC5E20" w:rsidRDefault="00DC5E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560" w:type="dxa"/>
            <w:gridSpan w:val="2"/>
            <w:tcBorders>
              <w:top w:val="nil"/>
              <w:bottom w:val="nil"/>
            </w:tcBorders>
          </w:tcPr>
          <w:p w14:paraId="1BF0B152" w14:textId="51C40067" w:rsidR="00DC5E20" w:rsidRDefault="001206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  <w:shd w:val="clear" w:color="auto" w:fill="FFF2CC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Plénier du CNIG du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  <w:shd w:val="clear" w:color="auto" w:fill="FFF2CC"/>
              </w:rPr>
              <w:t>&lt;date</w:t>
            </w:r>
            <w:r w:rsidR="0015391A">
              <w:rPr>
                <w:rFonts w:ascii="Arial" w:eastAsia="Arial" w:hAnsi="Arial" w:cs="Arial"/>
                <w:b/>
                <w:i/>
                <w:sz w:val="20"/>
                <w:szCs w:val="20"/>
                <w:shd w:val="clear" w:color="auto" w:fill="FFF2CC"/>
              </w:rPr>
              <w:t>&gt;</w:t>
            </w:r>
          </w:p>
        </w:tc>
      </w:tr>
      <w:tr w:rsidR="00DC5E20" w14:paraId="6484EC73" w14:textId="77777777">
        <w:trPr>
          <w:cantSplit/>
          <w:trHeight w:val="740"/>
        </w:trPr>
        <w:tc>
          <w:tcPr>
            <w:tcW w:w="2694" w:type="dxa"/>
            <w:vMerge/>
            <w:tcBorders>
              <w:top w:val="nil"/>
              <w:bottom w:val="nil"/>
            </w:tcBorders>
          </w:tcPr>
          <w:p w14:paraId="5E8B5465" w14:textId="77777777" w:rsidR="00DC5E20" w:rsidRDefault="00DC5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</w:tcBorders>
          </w:tcPr>
          <w:p w14:paraId="223185C7" w14:textId="77777777" w:rsidR="00DC5E20" w:rsidRDefault="00DC5E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</w:tcBorders>
            <w:vAlign w:val="bottom"/>
          </w:tcPr>
          <w:p w14:paraId="60E5EA06" w14:textId="77777777" w:rsidR="00DC5E20" w:rsidRDefault="00DC5E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006" w:type="dxa"/>
            <w:tcBorders>
              <w:top w:val="nil"/>
            </w:tcBorders>
            <w:vAlign w:val="bottom"/>
          </w:tcPr>
          <w:p w14:paraId="6F4FD400" w14:textId="77777777" w:rsidR="00DC5E20" w:rsidRDefault="00DC5E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5A6FD9B5" w14:textId="77777777" w:rsidR="00DC5E20" w:rsidRDefault="00DC5E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FFFDE1B" w14:textId="77777777" w:rsidR="00DC5E20" w:rsidRDefault="00DC5E20"/>
    <w:p w14:paraId="65F8741E" w14:textId="77777777" w:rsidR="00DC5E20" w:rsidRDefault="00DC5E20">
      <w:pPr>
        <w:pStyle w:val="Titre3"/>
        <w:pBdr>
          <w:bottom w:val="single" w:sz="4" w:space="19" w:color="000000"/>
        </w:pBdr>
      </w:pPr>
    </w:p>
    <w:p w14:paraId="078B9997" w14:textId="77777777" w:rsidR="00DC5E20" w:rsidRDefault="0012062D">
      <w:pPr>
        <w:pStyle w:val="Titre3"/>
        <w:pBdr>
          <w:bottom w:val="single" w:sz="4" w:space="19" w:color="000000"/>
        </w:pBdr>
        <w:jc w:val="center"/>
        <w:rPr>
          <w:i/>
          <w:shd w:val="clear" w:color="auto" w:fill="FFF2CC"/>
        </w:rPr>
      </w:pPr>
      <w:r>
        <w:t xml:space="preserve">Standard </w:t>
      </w:r>
      <w:r>
        <w:rPr>
          <w:i/>
          <w:shd w:val="clear" w:color="auto" w:fill="FFF2CC"/>
        </w:rPr>
        <w:t>&lt;thématique&gt;</w:t>
      </w:r>
      <w:r>
        <w:t xml:space="preserve"> version </w:t>
      </w:r>
      <w:r>
        <w:rPr>
          <w:i/>
          <w:shd w:val="clear" w:color="auto" w:fill="FFF2CC"/>
        </w:rPr>
        <w:t>&lt;x&gt;</w:t>
      </w:r>
    </w:p>
    <w:p w14:paraId="118FDE8B" w14:textId="77777777" w:rsidR="00DC5E20" w:rsidRDefault="0012062D">
      <w:pPr>
        <w:pStyle w:val="Titre5"/>
        <w:rPr>
          <w:sz w:val="20"/>
          <w:szCs w:val="20"/>
        </w:rPr>
      </w:pPr>
      <w:r>
        <w:rPr>
          <w:sz w:val="20"/>
          <w:szCs w:val="20"/>
        </w:rPr>
        <w:t>Description résumée du standard</w:t>
      </w:r>
    </w:p>
    <w:p w14:paraId="5759462C" w14:textId="15B9113B" w:rsidR="00DC5E20" w:rsidRDefault="0012062D">
      <w:pPr>
        <w:rPr>
          <w:rFonts w:ascii="Arial" w:eastAsia="Arial" w:hAnsi="Arial" w:cs="Arial"/>
          <w:i/>
          <w:sz w:val="20"/>
          <w:szCs w:val="20"/>
          <w:shd w:val="clear" w:color="auto" w:fill="FFF2CC"/>
        </w:rPr>
      </w:pPr>
      <w:r>
        <w:rPr>
          <w:rFonts w:ascii="Arial" w:eastAsia="Arial" w:hAnsi="Arial" w:cs="Arial"/>
          <w:i/>
          <w:sz w:val="20"/>
          <w:szCs w:val="20"/>
          <w:shd w:val="clear" w:color="auto" w:fill="FFF2CC"/>
        </w:rPr>
        <w:t>&lt;</w:t>
      </w:r>
      <w:r>
        <w:rPr>
          <w:rFonts w:ascii="Arial" w:eastAsia="Arial" w:hAnsi="Arial" w:cs="Arial"/>
          <w:i/>
          <w:sz w:val="20"/>
          <w:szCs w:val="20"/>
          <w:shd w:val="clear" w:color="auto" w:fill="FFF2CC"/>
        </w:rPr>
        <w:t xml:space="preserve"> Indiquer ici </w:t>
      </w:r>
      <w:r w:rsidR="0015391A">
        <w:rPr>
          <w:rFonts w:ascii="Arial" w:eastAsia="Arial" w:hAnsi="Arial" w:cs="Arial"/>
          <w:i/>
          <w:sz w:val="20"/>
          <w:szCs w:val="20"/>
          <w:shd w:val="clear" w:color="auto" w:fill="FFF2CC"/>
        </w:rPr>
        <w:t xml:space="preserve">en </w:t>
      </w:r>
      <w:r w:rsidR="0015391A">
        <w:rPr>
          <w:rFonts w:ascii="Arial" w:eastAsia="Arial" w:hAnsi="Arial" w:cs="Arial"/>
          <w:i/>
          <w:sz w:val="20"/>
          <w:szCs w:val="20"/>
          <w:shd w:val="clear" w:color="auto" w:fill="FFF2CC"/>
        </w:rPr>
        <w:t>3 ou 4 paragraphes</w:t>
      </w:r>
      <w:r w:rsidR="0015391A">
        <w:rPr>
          <w:rFonts w:ascii="Arial" w:eastAsia="Arial" w:hAnsi="Arial" w:cs="Arial"/>
          <w:i/>
          <w:sz w:val="20"/>
          <w:szCs w:val="20"/>
          <w:shd w:val="clear" w:color="auto" w:fill="FFF2CC"/>
        </w:rPr>
        <w:t xml:space="preserve"> </w:t>
      </w:r>
      <w:r>
        <w:rPr>
          <w:rFonts w:ascii="Arial" w:eastAsia="Arial" w:hAnsi="Arial" w:cs="Arial"/>
          <w:i/>
          <w:sz w:val="20"/>
          <w:szCs w:val="20"/>
          <w:shd w:val="clear" w:color="auto" w:fill="FFF2CC"/>
        </w:rPr>
        <w:t>l'objectif du standard, ses principaux apports, son contenu et ses liens avec l’existant (bases de données, autres standards, etc.)&gt;</w:t>
      </w:r>
    </w:p>
    <w:p w14:paraId="16E5F15C" w14:textId="77777777" w:rsidR="00DC5E20" w:rsidRDefault="00DC5E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E691511" w14:textId="77777777" w:rsidR="00DC5E20" w:rsidRDefault="00DC5E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059DAF4" w14:textId="77777777" w:rsidR="00DC5E20" w:rsidRDefault="001206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Cadre </w:t>
      </w:r>
      <w:r>
        <w:rPr>
          <w:rFonts w:ascii="Arial" w:eastAsia="Arial" w:hAnsi="Arial" w:cs="Arial"/>
          <w:b/>
          <w:color w:val="000000"/>
          <w:sz w:val="20"/>
          <w:szCs w:val="20"/>
        </w:rPr>
        <w:t>réglementaire</w:t>
      </w:r>
    </w:p>
    <w:p w14:paraId="4231C22B" w14:textId="77777777" w:rsidR="00DC5E20" w:rsidRDefault="001206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i/>
          <w:sz w:val="20"/>
          <w:szCs w:val="20"/>
          <w:shd w:val="clear" w:color="auto" w:fill="FFF2CC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- </w:t>
      </w:r>
      <w:r>
        <w:rPr>
          <w:rFonts w:ascii="Arial" w:eastAsia="Arial" w:hAnsi="Arial" w:cs="Arial"/>
          <w:i/>
          <w:color w:val="000000"/>
          <w:sz w:val="20"/>
          <w:szCs w:val="20"/>
          <w:shd w:val="clear" w:color="auto" w:fill="FFF2CC"/>
        </w:rPr>
        <w:t xml:space="preserve">&lt;Indiquer ici les lois, </w:t>
      </w:r>
      <w:r>
        <w:rPr>
          <w:rFonts w:ascii="Arial" w:eastAsia="Arial" w:hAnsi="Arial" w:cs="Arial"/>
          <w:i/>
          <w:sz w:val="20"/>
          <w:szCs w:val="20"/>
          <w:shd w:val="clear" w:color="auto" w:fill="FFF2CC"/>
        </w:rPr>
        <w:t>décrets, arrêtés en lien avec la thématique&gt;</w:t>
      </w:r>
    </w:p>
    <w:p w14:paraId="09F2CB75" w14:textId="77777777" w:rsidR="00DC5E20" w:rsidRDefault="00DC5E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i/>
          <w:sz w:val="20"/>
          <w:szCs w:val="20"/>
          <w:shd w:val="clear" w:color="auto" w:fill="FFF2CC"/>
        </w:rPr>
      </w:pPr>
    </w:p>
    <w:p w14:paraId="42740731" w14:textId="77777777" w:rsidR="00DC5E20" w:rsidRDefault="00DC5E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i/>
          <w:sz w:val="20"/>
          <w:szCs w:val="20"/>
          <w:shd w:val="clear" w:color="auto" w:fill="FFF2CC"/>
        </w:rPr>
      </w:pPr>
    </w:p>
    <w:p w14:paraId="7844CBC6" w14:textId="77777777" w:rsidR="00DC5E20" w:rsidRDefault="0012062D">
      <w:pPr>
        <w:pStyle w:val="Titre5"/>
        <w:rPr>
          <w:sz w:val="20"/>
          <w:szCs w:val="20"/>
        </w:rPr>
      </w:pPr>
      <w:r>
        <w:rPr>
          <w:sz w:val="20"/>
          <w:szCs w:val="20"/>
        </w:rPr>
        <w:t>Synthèse des travaux réalisés</w:t>
      </w:r>
    </w:p>
    <w:p w14:paraId="024A5721" w14:textId="77777777" w:rsidR="00DC5E20" w:rsidRDefault="0012062D">
      <w:pPr>
        <w:rPr>
          <w:rFonts w:ascii="Arial" w:eastAsia="Arial" w:hAnsi="Arial" w:cs="Arial"/>
          <w:i/>
          <w:sz w:val="20"/>
          <w:szCs w:val="20"/>
          <w:shd w:val="clear" w:color="auto" w:fill="FFF2CC"/>
        </w:rPr>
      </w:pPr>
      <w:r>
        <w:rPr>
          <w:rFonts w:ascii="Arial" w:eastAsia="Arial" w:hAnsi="Arial" w:cs="Arial"/>
          <w:i/>
          <w:sz w:val="20"/>
          <w:szCs w:val="20"/>
          <w:shd w:val="clear" w:color="auto" w:fill="FFF2CC"/>
        </w:rPr>
        <w:t>&lt;Indiquer ici l’historique du groupe de travail, les types d’organismes qu’il a réuni.&gt;</w:t>
      </w:r>
    </w:p>
    <w:p w14:paraId="78FD4B8D" w14:textId="77777777" w:rsidR="00DC5E20" w:rsidRDefault="00DC5E20">
      <w:pPr>
        <w:rPr>
          <w:rFonts w:ascii="Arial" w:eastAsia="Arial" w:hAnsi="Arial" w:cs="Arial"/>
          <w:i/>
          <w:sz w:val="20"/>
          <w:szCs w:val="20"/>
          <w:shd w:val="clear" w:color="auto" w:fill="FFF2CC"/>
        </w:rPr>
      </w:pPr>
    </w:p>
    <w:p w14:paraId="284853C4" w14:textId="77777777" w:rsidR="00DC5E20" w:rsidRDefault="0012062D">
      <w:pPr>
        <w:rPr>
          <w:rFonts w:ascii="Arial" w:eastAsia="Arial" w:hAnsi="Arial" w:cs="Arial"/>
          <w:i/>
          <w:sz w:val="20"/>
          <w:szCs w:val="20"/>
          <w:shd w:val="clear" w:color="auto" w:fill="FFF2CC"/>
        </w:rPr>
      </w:pPr>
      <w:r>
        <w:rPr>
          <w:rFonts w:ascii="Arial" w:eastAsia="Arial" w:hAnsi="Arial" w:cs="Arial"/>
          <w:i/>
          <w:sz w:val="20"/>
          <w:szCs w:val="20"/>
          <w:shd w:val="clear" w:color="auto" w:fill="FFF2CC"/>
        </w:rPr>
        <w:t xml:space="preserve">&lt;Indiquer si le standard a été soumis à un appel à commentaire, les dates correspondantes </w:t>
      </w:r>
      <w:r>
        <w:rPr>
          <w:rFonts w:ascii="Arial" w:eastAsia="Arial" w:hAnsi="Arial" w:cs="Arial"/>
          <w:i/>
          <w:sz w:val="20"/>
          <w:szCs w:val="20"/>
          <w:shd w:val="clear" w:color="auto" w:fill="FFF2CC"/>
        </w:rPr>
        <w:t>et les résultats principaux (nombre de commentaires, de contributeurs, et modifications qui ont suivies)&gt;</w:t>
      </w:r>
    </w:p>
    <w:p w14:paraId="79C25433" w14:textId="77777777" w:rsidR="00DC5E20" w:rsidRDefault="00DC5E20">
      <w:pPr>
        <w:rPr>
          <w:rFonts w:ascii="Arial" w:eastAsia="Arial" w:hAnsi="Arial" w:cs="Arial"/>
          <w:i/>
          <w:sz w:val="20"/>
          <w:szCs w:val="20"/>
          <w:shd w:val="clear" w:color="auto" w:fill="FFF2CC"/>
        </w:rPr>
      </w:pPr>
    </w:p>
    <w:p w14:paraId="2F252C1A" w14:textId="77777777" w:rsidR="00DC5E20" w:rsidRDefault="00DC5E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jc w:val="both"/>
        <w:rPr>
          <w:rFonts w:ascii="Arial" w:eastAsia="Arial" w:hAnsi="Arial" w:cs="Arial"/>
          <w:i/>
          <w:sz w:val="20"/>
          <w:szCs w:val="20"/>
          <w:shd w:val="clear" w:color="auto" w:fill="FFF2CC"/>
        </w:rPr>
      </w:pPr>
    </w:p>
    <w:p w14:paraId="4019B9C9" w14:textId="77777777" w:rsidR="00DC5E20" w:rsidRDefault="001206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jc w:val="both"/>
        <w:rPr>
          <w:rFonts w:ascii="Arial" w:eastAsia="Arial" w:hAnsi="Arial" w:cs="Arial"/>
          <w:i/>
          <w:sz w:val="20"/>
          <w:szCs w:val="20"/>
          <w:shd w:val="clear" w:color="auto" w:fill="FFF2CC"/>
        </w:rPr>
      </w:pPr>
      <w:r>
        <w:rPr>
          <w:rFonts w:ascii="Arial" w:eastAsia="Arial" w:hAnsi="Arial" w:cs="Arial"/>
          <w:i/>
          <w:sz w:val="20"/>
          <w:szCs w:val="20"/>
          <w:shd w:val="clear" w:color="auto" w:fill="FFF2CC"/>
        </w:rPr>
        <w:t>&lt;Indiquer ici les modalités de travail du GT (nombre de réunions, ateliers, auditions, présentations, etc.)&gt;</w:t>
      </w:r>
    </w:p>
    <w:p w14:paraId="35F933C7" w14:textId="77777777" w:rsidR="00DC5E20" w:rsidRDefault="00DC5E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jc w:val="both"/>
        <w:rPr>
          <w:rFonts w:ascii="Arial" w:eastAsia="Arial" w:hAnsi="Arial" w:cs="Arial"/>
          <w:i/>
          <w:sz w:val="20"/>
          <w:szCs w:val="20"/>
          <w:shd w:val="clear" w:color="auto" w:fill="FFF2CC"/>
        </w:rPr>
      </w:pPr>
    </w:p>
    <w:p w14:paraId="34443861" w14:textId="77777777" w:rsidR="00DC5E20" w:rsidRDefault="00DC5E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p w14:paraId="3833A7F9" w14:textId="77777777" w:rsidR="00DC5E20" w:rsidRDefault="00DC5E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30BFC0EB" w14:textId="77777777" w:rsidR="00DC5E20" w:rsidRDefault="0012062D">
      <w:pPr>
        <w:pBdr>
          <w:top w:val="single" w:sz="4" w:space="0" w:color="000000"/>
          <w:left w:val="single" w:sz="4" w:space="3" w:color="000000"/>
          <w:bottom w:val="single" w:sz="4" w:space="0" w:color="000000"/>
          <w:right w:val="single" w:sz="4" w:space="3" w:color="000000"/>
          <w:between w:val="nil"/>
        </w:pBdr>
        <w:spacing w:after="0" w:line="240" w:lineRule="auto"/>
        <w:jc w:val="both"/>
        <w:rPr>
          <w:rFonts w:ascii="Arial" w:eastAsia="Arial" w:hAnsi="Arial" w:cs="Arial"/>
          <w:i/>
          <w:color w:val="000000"/>
          <w:sz w:val="20"/>
          <w:szCs w:val="20"/>
          <w:shd w:val="clear" w:color="auto" w:fill="FFF2CC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Lien vers le standard : </w:t>
      </w:r>
      <w:r>
        <w:rPr>
          <w:rFonts w:ascii="Arial" w:eastAsia="Arial" w:hAnsi="Arial" w:cs="Arial"/>
          <w:i/>
          <w:color w:val="000000"/>
          <w:sz w:val="20"/>
          <w:szCs w:val="20"/>
          <w:shd w:val="clear" w:color="auto" w:fill="FFF2CC"/>
        </w:rPr>
        <w:t>&lt;lien&gt;</w:t>
      </w:r>
    </w:p>
    <w:p w14:paraId="4758B975" w14:textId="77777777" w:rsidR="00DC5E20" w:rsidRDefault="00DC5E20">
      <w:pPr>
        <w:pBdr>
          <w:top w:val="single" w:sz="4" w:space="0" w:color="000000"/>
          <w:left w:val="single" w:sz="4" w:space="3" w:color="000000"/>
          <w:bottom w:val="single" w:sz="4" w:space="0" w:color="000000"/>
          <w:right w:val="single" w:sz="4" w:space="3" w:color="000000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1CF9F49" w14:textId="77777777" w:rsidR="00DC5E20" w:rsidRDefault="0012062D">
      <w:pPr>
        <w:pBdr>
          <w:top w:val="single" w:sz="4" w:space="0" w:color="000000"/>
          <w:left w:val="single" w:sz="4" w:space="3" w:color="000000"/>
          <w:bottom w:val="single" w:sz="4" w:space="0" w:color="000000"/>
          <w:right w:val="single" w:sz="4" w:space="3" w:color="000000"/>
          <w:between w:val="nil"/>
        </w:pBdr>
        <w:spacing w:after="0" w:line="240" w:lineRule="auto"/>
        <w:jc w:val="both"/>
        <w:rPr>
          <w:rFonts w:ascii="Arial" w:eastAsia="Arial" w:hAnsi="Arial" w:cs="Arial"/>
          <w:i/>
          <w:color w:val="000000"/>
          <w:sz w:val="20"/>
          <w:szCs w:val="20"/>
          <w:shd w:val="clear" w:color="auto" w:fill="FFF2CC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Adresse de la page ressources contenant le standard et les documents associés : </w:t>
      </w:r>
      <w:r>
        <w:rPr>
          <w:rFonts w:ascii="Arial" w:eastAsia="Arial" w:hAnsi="Arial" w:cs="Arial"/>
          <w:i/>
          <w:color w:val="000000"/>
          <w:sz w:val="20"/>
          <w:szCs w:val="20"/>
          <w:shd w:val="clear" w:color="auto" w:fill="FFF2CC"/>
        </w:rPr>
        <w:t>&lt;lien&gt;</w:t>
      </w:r>
    </w:p>
    <w:p w14:paraId="051E8EF0" w14:textId="77777777" w:rsidR="00DC5E20" w:rsidRDefault="00DC5E20">
      <w:pPr>
        <w:pBdr>
          <w:top w:val="single" w:sz="4" w:space="0" w:color="000000"/>
          <w:left w:val="single" w:sz="4" w:space="3" w:color="000000"/>
          <w:bottom w:val="single" w:sz="4" w:space="0" w:color="000000"/>
          <w:right w:val="single" w:sz="4" w:space="3" w:color="000000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5E3162" w14:textId="77777777" w:rsidR="00DC5E20" w:rsidRDefault="0012062D">
      <w:pPr>
        <w:pBdr>
          <w:top w:val="single" w:sz="4" w:space="0" w:color="000000"/>
          <w:left w:val="single" w:sz="4" w:space="3" w:color="000000"/>
          <w:bottom w:val="single" w:sz="4" w:space="0" w:color="000000"/>
          <w:right w:val="single" w:sz="4" w:space="3" w:color="000000"/>
          <w:between w:val="nil"/>
        </w:pBdr>
        <w:spacing w:after="0" w:line="240" w:lineRule="auto"/>
        <w:jc w:val="both"/>
        <w:rPr>
          <w:rFonts w:ascii="Arial" w:eastAsia="Arial" w:hAnsi="Arial" w:cs="Arial"/>
          <w:i/>
          <w:color w:val="000000"/>
          <w:sz w:val="20"/>
          <w:szCs w:val="20"/>
          <w:shd w:val="clear" w:color="auto" w:fill="FFF2CC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Adresse du GT sur le site du CNIG : </w:t>
      </w:r>
      <w:r>
        <w:rPr>
          <w:rFonts w:ascii="Arial" w:eastAsia="Arial" w:hAnsi="Arial" w:cs="Arial"/>
          <w:i/>
          <w:color w:val="000000"/>
          <w:sz w:val="20"/>
          <w:szCs w:val="20"/>
          <w:shd w:val="clear" w:color="auto" w:fill="FFF2CC"/>
        </w:rPr>
        <w:t>&lt;lien&gt;</w:t>
      </w:r>
    </w:p>
    <w:p w14:paraId="389925D0" w14:textId="77777777" w:rsidR="00DC5E20" w:rsidRDefault="00DC5E20">
      <w:pPr>
        <w:pBdr>
          <w:top w:val="single" w:sz="4" w:space="0" w:color="000000"/>
          <w:left w:val="single" w:sz="4" w:space="3" w:color="000000"/>
          <w:bottom w:val="single" w:sz="4" w:space="0" w:color="000000"/>
          <w:right w:val="single" w:sz="4" w:space="3" w:color="000000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64C72A8" w14:textId="77777777" w:rsidR="00DC5E20" w:rsidRDefault="0012062D">
      <w:pPr>
        <w:pBdr>
          <w:top w:val="single" w:sz="4" w:space="0" w:color="000000"/>
          <w:left w:val="single" w:sz="4" w:space="3" w:color="000000"/>
          <w:bottom w:val="single" w:sz="4" w:space="0" w:color="000000"/>
          <w:right w:val="single" w:sz="4" w:space="3" w:color="000000"/>
          <w:between w:val="nil"/>
        </w:pBdr>
        <w:spacing w:after="0" w:line="240" w:lineRule="auto"/>
        <w:jc w:val="both"/>
        <w:rPr>
          <w:rFonts w:ascii="Arial" w:eastAsia="Arial" w:hAnsi="Arial" w:cs="Arial"/>
          <w:i/>
          <w:color w:val="000000"/>
          <w:sz w:val="20"/>
          <w:szCs w:val="20"/>
          <w:shd w:val="clear" w:color="auto" w:fill="FFF2CC"/>
        </w:rPr>
      </w:pPr>
      <w:r>
        <w:rPr>
          <w:rFonts w:ascii="Arial" w:eastAsia="Arial" w:hAnsi="Arial" w:cs="Arial"/>
          <w:sz w:val="20"/>
          <w:szCs w:val="20"/>
        </w:rPr>
        <w:t xml:space="preserve">Autres références : </w:t>
      </w:r>
      <w:r>
        <w:rPr>
          <w:rFonts w:ascii="Arial" w:eastAsia="Arial" w:hAnsi="Arial" w:cs="Arial"/>
          <w:i/>
          <w:sz w:val="20"/>
          <w:szCs w:val="20"/>
          <w:shd w:val="clear" w:color="auto" w:fill="FFF2CC"/>
        </w:rPr>
        <w:t>&lt;liens&gt;</w:t>
      </w:r>
    </w:p>
    <w:p w14:paraId="1DD773F2" w14:textId="77777777" w:rsidR="00DC5E20" w:rsidRDefault="00DC5E20">
      <w:pPr>
        <w:pBdr>
          <w:top w:val="single" w:sz="4" w:space="0" w:color="000000"/>
          <w:left w:val="single" w:sz="4" w:space="3" w:color="000000"/>
          <w:bottom w:val="single" w:sz="4" w:space="0" w:color="000000"/>
          <w:right w:val="single" w:sz="4" w:space="3" w:color="000000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D87C761" w14:textId="77777777" w:rsidR="00DC5E20" w:rsidRDefault="00DC5E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0CF8C47C" w14:textId="77777777" w:rsidR="00DC5E20" w:rsidRDefault="00DC5E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3E96806B" w14:textId="77777777" w:rsidR="00DC5E20" w:rsidRDefault="001206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Le standard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i/>
          <w:sz w:val="20"/>
          <w:szCs w:val="20"/>
          <w:shd w:val="clear" w:color="auto" w:fill="FFF2CC"/>
        </w:rPr>
        <w:t>&lt;thématique&gt;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est soumis à l’adoption finale par le Plénier du CNIG </w:t>
      </w:r>
    </w:p>
    <w:sectPr w:rsidR="00DC5E20">
      <w:pgSz w:w="11906" w:h="16838"/>
      <w:pgMar w:top="851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8ED2D" w14:textId="77777777" w:rsidR="0012062D" w:rsidRDefault="0012062D" w:rsidP="001A5317">
      <w:pPr>
        <w:spacing w:after="0" w:line="240" w:lineRule="auto"/>
      </w:pPr>
      <w:r>
        <w:separator/>
      </w:r>
    </w:p>
  </w:endnote>
  <w:endnote w:type="continuationSeparator" w:id="0">
    <w:p w14:paraId="25DE957D" w14:textId="77777777" w:rsidR="0012062D" w:rsidRDefault="0012062D" w:rsidP="001A5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Liberation Serif">
    <w:panose1 w:val="02020603050405020304"/>
    <w:charset w:val="00"/>
    <w:family w:val="roman"/>
    <w:notTrueType/>
    <w:pitch w:val="default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74A48" w14:textId="77777777" w:rsidR="0012062D" w:rsidRDefault="0012062D" w:rsidP="001A5317">
      <w:pPr>
        <w:spacing w:after="0" w:line="240" w:lineRule="auto"/>
      </w:pPr>
      <w:r>
        <w:separator/>
      </w:r>
    </w:p>
  </w:footnote>
  <w:footnote w:type="continuationSeparator" w:id="0">
    <w:p w14:paraId="28C6B67B" w14:textId="77777777" w:rsidR="0012062D" w:rsidRDefault="0012062D" w:rsidP="001A53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E20"/>
    <w:rsid w:val="0012062D"/>
    <w:rsid w:val="0015391A"/>
    <w:rsid w:val="001A5317"/>
    <w:rsid w:val="00DC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B5A1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20"/>
      <w:szCs w:val="2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spacing w:after="0" w:line="240" w:lineRule="auto"/>
      <w:ind w:left="900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F3F3F3"/>
      <w:spacing w:after="0" w:line="240" w:lineRule="auto"/>
      <w:outlineLvl w:val="2"/>
    </w:pPr>
    <w:rPr>
      <w:rFonts w:ascii="Arial" w:eastAsia="Times New Roman" w:hAnsi="Arial" w:cs="Arial"/>
      <w:b/>
      <w:bCs/>
      <w:sz w:val="20"/>
      <w:szCs w:val="2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Titre1Car">
    <w:name w:val="Titre 1 Car"/>
    <w:basedOn w:val="Policepardfaut"/>
    <w:link w:val="Titre1"/>
    <w:uiPriority w:val="99"/>
    <w:rPr>
      <w:rFonts w:ascii="Arial" w:eastAsia="Times New Roman" w:hAnsi="Arial" w:cs="Times New Roman"/>
      <w:b/>
      <w:sz w:val="20"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9"/>
    <w:rPr>
      <w:rFonts w:ascii="Arial" w:eastAsia="Times New Roman" w:hAnsi="Arial" w:cs="Times New Roman"/>
      <w:b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rPr>
      <w:rFonts w:ascii="Arial" w:eastAsia="Times New Roman" w:hAnsi="Arial" w:cs="Arial"/>
      <w:b/>
      <w:bCs/>
      <w:sz w:val="20"/>
      <w:szCs w:val="20"/>
      <w:shd w:val="clear" w:color="auto" w:fill="F3F3F3"/>
      <w:lang w:eastAsia="fr-FR"/>
    </w:rPr>
  </w:style>
  <w:style w:type="paragraph" w:styleId="Date">
    <w:name w:val="Date"/>
    <w:basedOn w:val="Normal"/>
    <w:next w:val="Normal"/>
    <w:link w:val="DateCar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DateCar">
    <w:name w:val="Date Car"/>
    <w:basedOn w:val="Policepardfaut"/>
    <w:link w:val="Date"/>
    <w:uiPriority w:val="99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Paragraphedeliste">
    <w:name w:val="List Paragraph"/>
    <w:basedOn w:val="Normal"/>
    <w:link w:val="ParagraphedelisteCar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ragraphedelisteCar">
    <w:name w:val="Paragraphe de liste Car"/>
    <w:link w:val="Paragraphedeliste"/>
    <w:uiPriority w:val="34"/>
    <w:qFormat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b/>
      <w:bCs/>
      <w:sz w:val="20"/>
      <w:szCs w:val="20"/>
    </w:rPr>
  </w:style>
  <w:style w:type="paragraph" w:styleId="Sansinterligne">
    <w:name w:val="No Spacing"/>
    <w:uiPriority w:val="1"/>
    <w:qFormat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Corpsdetexte">
    <w:name w:val="Body Text"/>
    <w:basedOn w:val="Normal"/>
    <w:link w:val="CorpsdetexteCar"/>
    <w:semiHidden/>
    <w:unhideWhenUsed/>
    <w:pPr>
      <w:widowControl w:val="0"/>
      <w:spacing w:after="0" w:line="276" w:lineRule="auto"/>
    </w:pPr>
    <w:rPr>
      <w:rFonts w:ascii="Liberation Serif" w:eastAsia="NSimSun" w:hAnsi="Liberation Serif" w:cs="Lucida Sans"/>
      <w:sz w:val="20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semiHidden/>
    <w:rPr>
      <w:rFonts w:ascii="Liberation Serif" w:eastAsia="NSimSun" w:hAnsi="Liberation Serif" w:cs="Lucida Sans"/>
      <w:sz w:val="20"/>
      <w:lang w:eastAsia="zh-CN" w:bidi="hi-IN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5A0AB0"/>
    <w:rPr>
      <w:color w:val="954F72" w:themeColor="followedHyperlink"/>
      <w:u w:val="single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Pn5866+wVI3CCsF5vAewzJw3Qw==">CgMxLjA4AHIhMTl5VHZOOURDREdfMF9Wa0M0RGtVS20zX3Nka2FqTXFE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910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2025-03-28T16:18:00Z</dcterms:created>
  <dcterms:modified xsi:type="dcterms:W3CDTF">2025-03-28T16:18:00Z</dcterms:modified>
</cp:coreProperties>
</file>